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1" w:rsidRPr="00D50C01" w:rsidRDefault="00D50C01" w:rsidP="00D50C01">
      <w:pPr>
        <w:shd w:val="clear" w:color="auto" w:fill="F7F9FB"/>
        <w:bidi w:val="0"/>
        <w:spacing w:after="0" w:line="240" w:lineRule="auto"/>
        <w:jc w:val="right"/>
        <w:rPr>
          <w:rFonts w:ascii="Arial" w:eastAsia="Times New Roman" w:hAnsi="Arial" w:cs="Arial"/>
          <w:color w:val="404243"/>
          <w:sz w:val="21"/>
          <w:szCs w:val="21"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br/>
        <w:t>בע"ה                                                                               ‏יום שלישי, כ"ה תשרי, תש"ס</w:t>
      </w:r>
    </w:p>
    <w:p w:rsidR="00D50C01" w:rsidRPr="00D50C01" w:rsidRDefault="00D50C01" w:rsidP="00D50C01">
      <w:pPr>
        <w:shd w:val="clear" w:color="auto" w:fill="F7F9FB"/>
        <w:bidi w:val="0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‏5/10/99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איגרת 6.99</w:t>
      </w:r>
    </w:p>
    <w:p w:rsidR="00D50C01" w:rsidRPr="00D50C01" w:rsidRDefault="00D50C01" w:rsidP="00D50C01">
      <w:pPr>
        <w:shd w:val="clear" w:color="auto" w:fill="F7F9FB"/>
        <w:bidi w:val="0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i/>
          <w:iCs/>
          <w:color w:val="404243"/>
          <w:sz w:val="36"/>
          <w:szCs w:val="36"/>
          <w:rtl/>
        </w:rPr>
        <w:t>איגרת לסגל המחקר מס' 6/99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(גיליון 85, עמ' 594-602)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24"/>
          <w:szCs w:val="24"/>
          <w:u w:val="single"/>
          <w:rtl/>
        </w:rPr>
        <w:t>הודעות פנימיות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72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הפגרה בפעילות האיגוד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תהיה מ10.10.99- עד 26.10.99 עקב נסיעתי לחו"ל.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72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ישיבת המזכירות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הבאה נקבעה ליום ה' 11.11.99 בשעה 1600 במח' הפרחים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72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סיכום מלא של זכויות עובדי מחקר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הופץ ב4.8.98- באיגרת מס' 76 ( עמ' 553-561 ). מבוטל בזה האמור שם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בסע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' 4.4(ג) בעמ' 557.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עוד בגיליון הזה: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b/>
          <w:bCs/>
          <w:i/>
          <w:iCs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הוראה באקדמיה ע"ח שעות העבודה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b/>
          <w:bCs/>
          <w:i/>
          <w:iCs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 xml:space="preserve">ביטול ההסדרים החריגים לקבלה לעבודה </w:t>
      </w:r>
      <w:proofErr w:type="spellStart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בממ"ח</w:t>
      </w:r>
      <w:proofErr w:type="spellEnd"/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i/>
          <w:iCs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ענייני מס הכנסה שוטפים ובשבתון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firstLine="720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32"/>
          <w:szCs w:val="32"/>
          <w:u w:val="single"/>
          <w:rtl/>
        </w:rPr>
        <w:t>1. מתוך יומן יו"ר האיגוד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6.7.99 – באסיפה כללית של חברי האיגוד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במכון הגיאולוגי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, הצגתי את מדיניותנו בתחום השכר והפנסיה. בדיון הובהרה הבעייתיות שבמאבק האיגוד להכללתנו בקבלת </w:t>
      </w:r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שכר עידוד.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15.7.99 – השתתפתי בישיבת ועד סגל המחקר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במינהל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המחקר החקלאי, שבה אושרו הצעותיי להמשך הטיפול בקביעת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נהלים לאיוש משרות בדירוג המחקר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בכלל שירות המדינה, לרבות משרת ראש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המינהל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ומשרות מדען ראשי. הוחלט שהוועד ידרוש מהנהלת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המינהל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להשיג פתרון לבעיות סגל המחקר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במינהל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15.7.99 – בישיבה מס' 5/99 של המזכירות הארצית של האיגוד, הוחלט לדרוש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הגדלת סכום המקדמה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שאנו תובעים במוסד לבוררות מוסכמת, שיהיה 20,000 ש"ח, וזאת בעקבות דיווח על תשלום סך 7,000 ש"ח נוספים במערכת הביטחון. לעומת זאת, נמסר - בניגוד למידע קודם – שאין אנו מופלים לרעה במספר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ימי הבראה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בהשוואה לעמיתינו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במעהב"ט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6.8.99 – ועד סגל המחקר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אימץ את הצעתי וקרא להנהלת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המינהל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שלא לאכלס את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הבניין החדש באתר בית דגן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, כל עוד לא קיבלו חברי סגל המחקר את ההטבות הנלוות לעבודה באתר זה. סגל המחקר לא יהסס למצות את ההליכים ולנקוט בכל אמצעי חוקי , על מנת לממש זכויות אלו.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19.8.99 – בישיבה מס' 6/99 של המזכירות, נקבע שד"ר צבי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מינסטר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ירכז את הטיפול בבירור המשפטי בעניין הדרגות המקבילות לתשלום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קצובות הבראה וביגוד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 נדונו הצעות שהועלו להיפגש עם שרי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הממשלה החדשה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בעניינינו.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24.8.99 – הלשכה המשפטית של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האג"מ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בהסתדרות הגישה למוסד לבוררות מוסכמת בשירות הציבורי את כתב תגובתנו לסיכומי המדינה בתיק 6/98 בדבר תביעתנו לקבל את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המקדמה ע"ס 20,000 ש"ח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לעובדים הפעילים (להוציא גמלאים ומי שבשבתון ובחל"ת). זה השלב הסופי בהליך, כאשר המוסד אמור לתת את פסק הבוררות בזמן הקרוב.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24.8.99 – קיבלתי מסגן הממונה על השכר באוצר את הוראות הביצוע שהוציא לפני חצי שנה (!!) לשלם את הפרשי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ההלנה בגין משכורות 1994-5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 הודעתי לו שלא בוצע התשלום לגמלאים. הוריתי לנציגינו במקומות העבודה לטפל בביצוע אצלם.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29.8.99 – נחתם הסכם פשרה עם משרד האוצר להסדרת הבעיה של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ירידת השכר כשעולים לדרגה א+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אחרי 16 שנות שהייה בדרגה א'. המסמך מצורף לאיגרת זו.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15.9.99 – הוגש למוסד לבוררות מוסכמת כתב הסיכומים שלנו בתביעה מס' 1/98 לתשלום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תוספת מחקר חקלאי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בשיעור 15% לחברים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ובשו"ט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lastRenderedPageBreak/>
        <w:t xml:space="preserve">16.9.99 – יו"ר הוועד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ד"ר נ.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אומיאל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ואני נפגשנו עם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 xml:space="preserve">ראש </w:t>
      </w:r>
      <w:proofErr w:type="spellStart"/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המינהל</w:t>
      </w:r>
      <w:proofErr w:type="spellEnd"/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 xml:space="preserve"> ד"ר א. </w:t>
      </w:r>
      <w:proofErr w:type="spellStart"/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פוטיבסקי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, שהכחיש בפנינו את השמועות בדבר צמצומים. סוכם עמו כדלהלן: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לפעול על פי </w:t>
      </w:r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נוהל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קליטת חוקרים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לגבי שתי החלטות שנתקבלו בוועדה הפרופסיונלית על פיטורין.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להשהות את הדרישה לקבלת תיק פעילות מבעלי דרגה א1, כדי שיגיש הוועד את הצעותיו בעניין.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ליישם את השינויים בתקציבי המחקר ב1.1.2000-, כמתחייב מהסכם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התקורות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עם הוועד.</w:t>
      </w:r>
    </w:p>
    <w:p w:rsidR="00D50C01" w:rsidRPr="00D50C01" w:rsidRDefault="00D50C01" w:rsidP="00D50C01">
      <w:pPr>
        <w:shd w:val="clear" w:color="auto" w:fill="F7F9FB"/>
        <w:spacing w:after="0" w:line="240" w:lineRule="auto"/>
        <w:ind w:hanging="360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Times New Roman" w:eastAsia="Times New Roman" w:hAnsi="Times New Roman" w:cs="Times New Roman"/>
          <w:color w:val="404243"/>
          <w:sz w:val="14"/>
          <w:szCs w:val="14"/>
          <w:rtl/>
        </w:rPr>
        <w:t>        ·          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לאשר הפצת </w:t>
      </w:r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ערכת הקליטה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לאלתר לחוקרים חדשים.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16.9.99 – בישיבת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u w:val="single"/>
          <w:rtl/>
        </w:rPr>
        <w:t>מזכירות האיגוד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 מס' 7/99, אושר מינויו של ד"ר רון פרים מתמ"י כחבר במזכירות במקום ד"ר ברוך גרינבאום. כן אושר ההסדר הנ"ל מ29.8.99-. הוחלט להביא לדיון עם מנהל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שו"ט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בהשתתפותי את דרישותינו בעניין ש"נ וניסויי שדה שם. ד"ר שוקי מירון יכין טיוטה להגשת תיקי פעילות של העובדים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. הומלץ לפעול בעניין הסחבת בהגשת תיקים להעלאות בדרגה במכון הגיאולוגי בהתאם לתקדים הנזכר בעמ' 353 באיגרת.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* * * *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8"/>
          <w:szCs w:val="28"/>
          <w:rtl/>
        </w:rPr>
        <w:t>2. </w:t>
      </w:r>
      <w:r w:rsidRPr="00D50C01">
        <w:rPr>
          <w:rFonts w:ascii="Arial" w:eastAsia="Times New Roman" w:hAnsi="Arial" w:cs="Arial"/>
          <w:b/>
          <w:bCs/>
          <w:color w:val="404243"/>
          <w:sz w:val="32"/>
          <w:szCs w:val="32"/>
          <w:u w:val="single"/>
          <w:rtl/>
        </w:rPr>
        <w:t>הוראה באקדמיה ע"ח שעות העבודה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במשרד התשתיות הלאומיות ( המכון הגיאולוגי; השירות ההידרולוגי ) רוצים לגזור עלינו גזירה חדשה כך שכאשר חבר סגל מלמד בהיתר במוסד אקדמי בשעות העבודה, ינכה המשרד את שעות הנסיעה מחופשתו השנתית.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כנראה שחושבים שנאבד לנו העותק של זיכרון הדברים המקורי מיום 2.12.69 שנעשה עם נציבות שירות המדינה, שבו נקבע ההסדר בדבר הוראה בשעות העבודה. שם נאמר – ואני מצטט: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</w:rPr>
        <w:t>…</w:t>
      </w: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 xml:space="preserve">לשאת הרצאות במוסדות להשכלה גבוהה מבלי להתנות מתן ההיתר בניכוי שעות </w:t>
      </w:r>
      <w:proofErr w:type="spellStart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ההעדרות</w:t>
      </w:r>
      <w:proofErr w:type="spellEnd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 xml:space="preserve"> מהעבודה – מהמשכורת, בזקיפת שעת </w:t>
      </w:r>
      <w:proofErr w:type="spellStart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ההעדרות</w:t>
      </w:r>
      <w:proofErr w:type="spellEnd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 xml:space="preserve"> ע"ח חופשת המנוחה, באי העסקה </w:t>
      </w:r>
      <w:proofErr w:type="spellStart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>בש"נ</w:t>
      </w:r>
      <w:proofErr w:type="spellEnd"/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  <w:rtl/>
        </w:rPr>
        <w:t xml:space="preserve"> וכד'</w:t>
      </w:r>
      <w:r w:rsidRPr="00D50C01">
        <w:rPr>
          <w:rFonts w:ascii="Arial" w:eastAsia="Times New Roman" w:hAnsi="Arial" w:cs="Arial"/>
          <w:b/>
          <w:bCs/>
          <w:i/>
          <w:iCs/>
          <w:color w:val="404243"/>
          <w:sz w:val="21"/>
          <w:szCs w:val="21"/>
        </w:rPr>
        <w:t>…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לידיעתכם: המסמך המקורי הופץ כעמ' 256-7 ב-</w:t>
      </w:r>
      <w:proofErr w:type="spellStart"/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איגרת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מס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' 60.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האם לא ירפו מהניסיונות להתנכל לסגל המחקר? הן כללי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המינהל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התקין והן משפט העבודה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מחייבים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שאם חושבים לשנות את תנאי העבודה </w:t>
      </w: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הקיימים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, יש להעלות את הדרישה בפני </w:t>
      </w:r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איגוד סגל המחקר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לקבלת הסכמתו לשינוי: אולי משהו יאיר את עיניהם בעניין?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* * * *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        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32"/>
          <w:szCs w:val="32"/>
          <w:u w:val="single"/>
          <w:rtl/>
        </w:rPr>
        <w:t xml:space="preserve">3. ביטול ההסדרים החריגים לקבלה לעבודה </w:t>
      </w:r>
      <w:proofErr w:type="spellStart"/>
      <w:r w:rsidRPr="00D50C01">
        <w:rPr>
          <w:rFonts w:ascii="Arial" w:eastAsia="Times New Roman" w:hAnsi="Arial" w:cs="Arial"/>
          <w:b/>
          <w:bCs/>
          <w:color w:val="404243"/>
          <w:sz w:val="32"/>
          <w:szCs w:val="32"/>
          <w:u w:val="single"/>
          <w:rtl/>
        </w:rPr>
        <w:t>בממ"ח</w:t>
      </w:r>
      <w:proofErr w:type="spellEnd"/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בשנות ה70-, חתמה הסתדרות עובדי המדינה על סדרת הסכמים קיבוציים עם המדינה, שהטילו על חברי סגל המחקר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הגבלות מפלות בנוגע לתקופת ניסיון, העסקה בחוזה מיוחד והמעבר למעמד זמני וקבוע במשרת תקן. ללא ידיעתי, הוחתם ועד סגל המחקר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על ההסכמים, שקיבלו תוקף חוקי מחייב. ההסדרים החריגים נכללו בחוזי ההעסקה של עובדי המחקר, ונשללו מהם הזכויות האמורות שהוענקו לשאר העובדים.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מאז ועד עתה, מטפל אני בהשגת ביטול ההסכמים החריגים. עכשיו מאמציי נשאו פרי. לפני חודשיים שיגרה המח' המשפטית של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האג"מ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בהסתדרות הודעה פורמלית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לנש"מ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על ביטול ההסכמים. כתבי הביטול הוגשו לרישום במשרד העבודה כנדרש בחוק הסכמים קיבוציים. ההודעה מצורפת לאיגרת זו.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כעת, אפוא, לא ניתן עוד להעסיק סגל מחקר עראי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בממ"ח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בתנאים חריגים אלא על פי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התקשי"ר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החל על כלל עובדי המדינה. וזאת בכפוף להוראות המיוחדות שבהסכם בדבר </w:t>
      </w:r>
      <w:r w:rsidRPr="00D50C01">
        <w:rPr>
          <w:rFonts w:ascii="Arial" w:eastAsia="Times New Roman" w:hAnsi="Arial" w:cs="Arial"/>
          <w:i/>
          <w:iCs/>
          <w:color w:val="404243"/>
          <w:sz w:val="21"/>
          <w:szCs w:val="21"/>
          <w:rtl/>
        </w:rPr>
        <w:t>נוהל קליטת חוקרים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, שנחתם ב31.1.97- בין </w:t>
      </w:r>
      <w:proofErr w:type="spellStart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ממ"ח</w:t>
      </w:r>
      <w:proofErr w:type="spellEnd"/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לבין איגוד סגל המחקר.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* * * *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b/>
          <w:bCs/>
          <w:color w:val="404243"/>
          <w:sz w:val="32"/>
          <w:szCs w:val="32"/>
          <w:u w:val="single"/>
          <w:rtl/>
        </w:rPr>
        <w:t>4. ענייני מס הכנסה שוטפים ובשבתון</w:t>
      </w:r>
    </w:p>
    <w:p w:rsidR="00D50C01" w:rsidRPr="00D50C01" w:rsidRDefault="00D50C01" w:rsidP="00D50C01">
      <w:pPr>
        <w:shd w:val="clear" w:color="auto" w:fill="F7F9FB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האיגוד וחבריו כבודדים נעזרים בשירותיו של רו"ח בצלאל בר-לב (טל' 09-775264) בייעוץ ובטיפול בענייני מס הכנסה וביטוח לאומי הנוגעים ספציפית לעיסוקנו כחברי סגל המחקר, ובמיוחד בדיווח החברים </w:t>
      </w: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lastRenderedPageBreak/>
        <w:t>על השבתון. בצלאל התמחה במיוחד בתחום זה, ומכהן מזה שנים רבות כיועץ לסגל האקדמי הבכיר באוניברסיטה העברית.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D50C01" w:rsidRPr="00D50C01" w:rsidRDefault="00D50C01" w:rsidP="00D50C0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D50C01">
        <w:rPr>
          <w:rFonts w:ascii="Arial" w:eastAsia="Times New Roman" w:hAnsi="Arial" w:cs="Arial"/>
          <w:color w:val="404243"/>
          <w:sz w:val="21"/>
          <w:szCs w:val="21"/>
          <w:rtl/>
        </w:rPr>
        <w:t>לידיעת החברים, אני מצרף לאיגרת זו את שני המכתבים מ5.9.99- ומ23.9.99-, שבצלאל העביר אליי.</w:t>
      </w:r>
    </w:p>
    <w:p w:rsidR="00A11C56" w:rsidRDefault="00A11C56">
      <w:bookmarkStart w:id="0" w:name="_GoBack"/>
      <w:bookmarkEnd w:id="0"/>
    </w:p>
    <w:sectPr w:rsidR="00A11C56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1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0C01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C01"/>
    <w:rPr>
      <w:b/>
      <w:bCs/>
    </w:rPr>
  </w:style>
  <w:style w:type="character" w:styleId="a4">
    <w:name w:val="Emphasis"/>
    <w:basedOn w:val="a0"/>
    <w:uiPriority w:val="20"/>
    <w:qFormat/>
    <w:rsid w:val="00D50C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C01"/>
    <w:rPr>
      <w:b/>
      <w:bCs/>
    </w:rPr>
  </w:style>
  <w:style w:type="character" w:styleId="a4">
    <w:name w:val="Emphasis"/>
    <w:basedOn w:val="a0"/>
    <w:uiPriority w:val="20"/>
    <w:qFormat/>
    <w:rsid w:val="00D50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136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068">
          <w:marLeft w:val="0"/>
          <w:marRight w:val="28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81225373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687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237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6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88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38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83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34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8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1</cp:revision>
  <dcterms:created xsi:type="dcterms:W3CDTF">2020-07-01T12:07:00Z</dcterms:created>
  <dcterms:modified xsi:type="dcterms:W3CDTF">2020-07-01T12:07:00Z</dcterms:modified>
</cp:coreProperties>
</file>