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F0C9" w14:textId="2D368ACE" w:rsidR="00EB515C" w:rsidRPr="00EB515C" w:rsidRDefault="00EB515C" w:rsidP="00EB515C">
      <w:r w:rsidRPr="00EB515C">
        <w:rPr>
          <w:b/>
          <w:bCs/>
          <w:rtl/>
        </w:rPr>
        <w:t>שכר והסכמי עבודה</w:t>
      </w:r>
      <w:r w:rsidRPr="00EB515C">
        <w:br/>
        <w:t> </w:t>
      </w:r>
      <w:r w:rsidRPr="00EB515C">
        <w:br/>
      </w:r>
      <w:r w:rsidRPr="00EB515C">
        <w:rPr>
          <w:b/>
          <w:bCs/>
          <w:rtl/>
        </w:rPr>
        <w:t>רח' קפלן 1, ת.ד.3100, ירושלים. טל : 02-5317189, פקס : 02-5695372</w:t>
      </w:r>
      <w:r w:rsidRPr="00EB515C">
        <w:br/>
        <w:t> </w:t>
      </w:r>
      <w:r w:rsidRPr="00EB515C">
        <w:br/>
        <w:t> </w:t>
      </w:r>
      <w:r w:rsidRPr="00EB515C">
        <w:br/>
      </w:r>
      <w:r w:rsidRPr="00EB515C">
        <w:rPr>
          <w:rtl/>
        </w:rPr>
        <w:t>ירושלים</w:t>
      </w:r>
      <w:r w:rsidRPr="00EB515C">
        <w:t>,   </w:t>
      </w:r>
      <w:bookmarkStart w:id="0" w:name="Adding02"/>
      <w:bookmarkEnd w:id="0"/>
      <w:r w:rsidRPr="00EB515C">
        <w:rPr>
          <w:rtl/>
        </w:rPr>
        <w:t xml:space="preserve">כ"א באלול </w:t>
      </w:r>
      <w:proofErr w:type="spellStart"/>
      <w:r w:rsidRPr="00EB515C">
        <w:rPr>
          <w:rtl/>
        </w:rPr>
        <w:t>התשע"ד</w:t>
      </w:r>
      <w:proofErr w:type="spellEnd"/>
      <w:r w:rsidRPr="00EB515C">
        <w:br/>
        <w:t xml:space="preserve">16 </w:t>
      </w:r>
      <w:r w:rsidRPr="00EB515C">
        <w:rPr>
          <w:rtl/>
        </w:rPr>
        <w:t>בספטמבר 2014</w:t>
      </w:r>
      <w:r w:rsidRPr="00EB515C">
        <w:br/>
      </w:r>
      <w:bookmarkStart w:id="1" w:name="Adding01"/>
      <w:bookmarkEnd w:id="1"/>
      <w:r w:rsidRPr="00EB515C">
        <w:rPr>
          <w:rtl/>
        </w:rPr>
        <w:t xml:space="preserve">חוזר </w:t>
      </w:r>
      <w:proofErr w:type="spellStart"/>
      <w:r w:rsidRPr="00EB515C">
        <w:rPr>
          <w:rtl/>
        </w:rPr>
        <w:t>הע</w:t>
      </w:r>
      <w:proofErr w:type="spellEnd"/>
      <w:r w:rsidRPr="00EB515C">
        <w:rPr>
          <w:rtl/>
        </w:rPr>
        <w:t xml:space="preserve"> - כללי הסכם</w:t>
      </w:r>
      <w:r w:rsidRPr="00EB515C">
        <w:br/>
        <w:t>2014-1-28</w:t>
      </w:r>
      <w:r w:rsidRPr="00EB515C">
        <w:br/>
        <w:t> </w:t>
      </w:r>
      <w:r w:rsidRPr="00EB515C">
        <w:br/>
        <w:t> </w:t>
      </w:r>
      <w:r w:rsidRPr="00EB515C">
        <w:br/>
      </w:r>
      <w:r w:rsidRPr="00EB515C">
        <w:rPr>
          <w:rtl/>
        </w:rPr>
        <w:t xml:space="preserve">אל: מר מרדכי אלישע, סגן בכיר </w:t>
      </w:r>
      <w:proofErr w:type="spellStart"/>
      <w:r w:rsidRPr="00EB515C">
        <w:rPr>
          <w:rtl/>
        </w:rPr>
        <w:t>לחשבת</w:t>
      </w:r>
      <w:proofErr w:type="spellEnd"/>
      <w:r w:rsidRPr="00EB515C">
        <w:rPr>
          <w:rtl/>
        </w:rPr>
        <w:t xml:space="preserve"> הכללית, משרד האוצר</w:t>
      </w:r>
      <w:r w:rsidRPr="00EB515C">
        <w:br/>
        <w:t> </w:t>
      </w:r>
      <w:r w:rsidRPr="00EB515C">
        <w:br/>
        <w:t> </w:t>
      </w:r>
      <w:r w:rsidRPr="00EB515C">
        <w:br/>
      </w:r>
      <w:r w:rsidRPr="00EB515C">
        <w:rPr>
          <w:rtl/>
        </w:rPr>
        <w:t>הנדון</w:t>
      </w:r>
      <w:r w:rsidRPr="00EB515C">
        <w:t xml:space="preserve"> : </w:t>
      </w:r>
      <w:bookmarkStart w:id="2" w:name="About"/>
      <w:bookmarkEnd w:id="2"/>
      <w:r w:rsidRPr="00EB515C">
        <w:rPr>
          <w:b/>
          <w:bCs/>
          <w:u w:val="single"/>
          <w:rtl/>
        </w:rPr>
        <w:t>הוראות ביצוע לעדכון טבלאות השכר של דירוג המחקר האזרחי</w:t>
      </w:r>
      <w:r w:rsidRPr="00EB515C">
        <w:br/>
      </w:r>
      <w:bookmarkStart w:id="3" w:name="reference"/>
      <w:bookmarkEnd w:id="3"/>
      <w:r w:rsidRPr="00EB515C">
        <w:rPr>
          <w:rtl/>
        </w:rPr>
        <w:t xml:space="preserve">פס"ד מיום 2.12.2012 ( </w:t>
      </w:r>
      <w:proofErr w:type="spellStart"/>
      <w:r w:rsidRPr="00EB515C">
        <w:rPr>
          <w:rtl/>
        </w:rPr>
        <w:t>ס"ק</w:t>
      </w:r>
      <w:proofErr w:type="spellEnd"/>
      <w:r w:rsidRPr="00EB515C">
        <w:rPr>
          <w:rtl/>
        </w:rPr>
        <w:t xml:space="preserve"> 36536-03-12</w:t>
      </w:r>
      <w:r w:rsidRPr="00EB515C">
        <w:t xml:space="preserve"> )</w:t>
      </w:r>
      <w:r w:rsidRPr="00EB515C">
        <w:br/>
      </w:r>
      <w:r w:rsidRPr="00EB515C">
        <w:rPr>
          <w:rtl/>
        </w:rPr>
        <w:t>פס"ד מיום 3.3.2014 (</w:t>
      </w:r>
      <w:proofErr w:type="spellStart"/>
      <w:r w:rsidRPr="00EB515C">
        <w:rPr>
          <w:rtl/>
        </w:rPr>
        <w:t>עס"ק</w:t>
      </w:r>
      <w:proofErr w:type="spellEnd"/>
      <w:r w:rsidRPr="00EB515C">
        <w:rPr>
          <w:rtl/>
        </w:rPr>
        <w:t xml:space="preserve"> 38740-12-12</w:t>
      </w:r>
      <w:r w:rsidRPr="00EB515C">
        <w:t xml:space="preserve"> )</w:t>
      </w:r>
      <w:r w:rsidRPr="00EB515C">
        <w:br/>
      </w:r>
      <w:bookmarkStart w:id="4" w:name="start"/>
      <w:bookmarkEnd w:id="4"/>
      <w:r w:rsidRPr="00EB515C">
        <w:t> </w:t>
      </w:r>
      <w:r w:rsidRPr="00EB515C">
        <w:br/>
      </w:r>
      <w:r w:rsidRPr="00EB515C">
        <w:rPr>
          <w:rtl/>
        </w:rPr>
        <w:t>ביום 2.12.2012 התקבל  פסק דין (</w:t>
      </w:r>
      <w:proofErr w:type="spellStart"/>
      <w:r w:rsidRPr="00EB515C">
        <w:rPr>
          <w:rtl/>
        </w:rPr>
        <w:t>ס"ק</w:t>
      </w:r>
      <w:proofErr w:type="spellEnd"/>
      <w:r w:rsidRPr="00EB515C">
        <w:rPr>
          <w:rtl/>
        </w:rPr>
        <w:t xml:space="preserve"> 36536-03-12) של בית הדין האזורי לעבודה בת"א המורה על הצמדה בין טבלאות השכר של הסגל הבכיר באוניברסיטאות לטבלאות השכר של עובדי המחקר המועסקים בשירות המדינה במערכת הביטחון (להלן</w:t>
      </w:r>
      <w:r w:rsidRPr="00EB515C">
        <w:t xml:space="preserve"> – </w:t>
      </w:r>
      <w:r w:rsidRPr="00EB515C">
        <w:rPr>
          <w:b/>
          <w:bCs/>
          <w:rtl/>
        </w:rPr>
        <w:t>דירוג המחקר הביטחוני</w:t>
      </w:r>
      <w:r>
        <w:rPr>
          <w:rFonts w:hint="cs"/>
          <w:rtl/>
        </w:rPr>
        <w:t>.)</w:t>
      </w:r>
      <w:r w:rsidRPr="00EB515C">
        <w:t xml:space="preserve"> </w:t>
      </w:r>
      <w:r w:rsidRPr="00EB515C">
        <w:br/>
      </w:r>
      <w:r w:rsidRPr="00EB515C">
        <w:rPr>
          <w:rtl/>
        </w:rPr>
        <w:t>לאור פסק הדין ומאחר וערעור המדינה בפני בית הדין הארצי לעבודה נדחה, יש לעדכן רטרואקטיבית את טבלאות השכר של עובדי מדינה המדורגים בדירוג עובדי המחקר שאינם מועסקים במערכת הביטחון (להלן</w:t>
      </w:r>
      <w:r w:rsidRPr="00EB515C">
        <w:t xml:space="preserve"> – </w:t>
      </w:r>
      <w:r w:rsidRPr="00EB515C">
        <w:rPr>
          <w:b/>
          <w:bCs/>
          <w:rtl/>
        </w:rPr>
        <w:t>דירוג המחקר האזרחי</w:t>
      </w:r>
      <w:r w:rsidRPr="00EB515C">
        <w:t xml:space="preserve">), </w:t>
      </w:r>
      <w:r w:rsidRPr="00EB515C">
        <w:rPr>
          <w:rtl/>
        </w:rPr>
        <w:t>בהתאם לעדכון טבלאות השכר של דירוג המחקר הביטחוני, כדלקמן</w:t>
      </w:r>
      <w:r w:rsidRPr="00EB515C">
        <w:t>:</w:t>
      </w:r>
      <w:r w:rsidRPr="00EB515C">
        <w:br/>
        <w:t> </w:t>
      </w:r>
    </w:p>
    <w:p w14:paraId="04C222DE" w14:textId="77777777" w:rsidR="00EB515C" w:rsidRPr="00EB515C" w:rsidRDefault="00EB515C" w:rsidP="00EB515C">
      <w:pPr>
        <w:numPr>
          <w:ilvl w:val="0"/>
          <w:numId w:val="1"/>
        </w:numPr>
      </w:pPr>
      <w:r w:rsidRPr="00EB515C">
        <w:rPr>
          <w:rtl/>
        </w:rPr>
        <w:t>החל מיום 1.1.2011, יש לעדכן את טבלאות השכר של העובדים המדורגים בדירוג המחקר האזרחי בדרגות: א'1 ו-א', בשיעור של 2.8%, בהתאם לטבלה המעודכנת בנספח א' להוראה זו</w:t>
      </w:r>
      <w:r w:rsidRPr="00EB515C">
        <w:t>.</w:t>
      </w:r>
      <w:r w:rsidRPr="00EB515C">
        <w:br/>
        <w:t> </w:t>
      </w:r>
    </w:p>
    <w:p w14:paraId="26C05BF1" w14:textId="77777777" w:rsidR="00EB515C" w:rsidRPr="00EB515C" w:rsidRDefault="00EB515C" w:rsidP="00EB515C">
      <w:pPr>
        <w:numPr>
          <w:ilvl w:val="0"/>
          <w:numId w:val="1"/>
        </w:numPr>
      </w:pPr>
      <w:r w:rsidRPr="00EB515C">
        <w:rPr>
          <w:rtl/>
        </w:rPr>
        <w:t>החל מיום 1.1.2011, יש לעדכן את טבלאות השכר של העובדים המדורגים בדירוג המחקר האזרחי בדרגות: ב' ו-ג', בשיעור של 3.095%, בהתאם לטבלה המעודכנת בנספח א' להוראה זו</w:t>
      </w:r>
      <w:r w:rsidRPr="00EB515C">
        <w:t>.</w:t>
      </w:r>
    </w:p>
    <w:p w14:paraId="3C93F65B" w14:textId="77777777" w:rsidR="00EB515C" w:rsidRPr="00EB515C" w:rsidRDefault="00EB515C" w:rsidP="00EB515C">
      <w:r w:rsidRPr="00EB515C">
        <w:t> </w:t>
      </w:r>
    </w:p>
    <w:p w14:paraId="135ED7AE" w14:textId="77777777" w:rsidR="00EB515C" w:rsidRPr="00EB515C" w:rsidRDefault="00EB515C" w:rsidP="00EB515C">
      <w:pPr>
        <w:numPr>
          <w:ilvl w:val="0"/>
          <w:numId w:val="2"/>
        </w:numPr>
      </w:pPr>
      <w:r w:rsidRPr="00EB515C">
        <w:rPr>
          <w:rtl/>
        </w:rPr>
        <w:t>החל מיום 1.1.2011, יש לעדכן את טבלאות השכר של העובדים המדורגים בדירוג המחקר האזרחי בדרגות: ה1, ה2, ד' וד'(ד"ר), בשיעור של 2.9%, בהתאם לטבלה המעודכנת בנספח א' להוראה זו</w:t>
      </w:r>
      <w:r w:rsidRPr="00EB515C">
        <w:t>.</w:t>
      </w:r>
    </w:p>
    <w:p w14:paraId="3884E0CA" w14:textId="77777777" w:rsidR="00EB515C" w:rsidRPr="00EB515C" w:rsidRDefault="00EB515C" w:rsidP="00EB515C">
      <w:r w:rsidRPr="00EB515C">
        <w:t> </w:t>
      </w:r>
    </w:p>
    <w:p w14:paraId="5CB07029" w14:textId="77777777" w:rsidR="00EB515C" w:rsidRPr="00EB515C" w:rsidRDefault="00EB515C" w:rsidP="00EB515C">
      <w:pPr>
        <w:numPr>
          <w:ilvl w:val="0"/>
          <w:numId w:val="3"/>
        </w:numPr>
      </w:pPr>
      <w:r w:rsidRPr="00EB515C">
        <w:rPr>
          <w:rtl/>
        </w:rPr>
        <w:t>החל מיום 1.1.2012, יש לעדכן את טבלאות השכר של העובדים המדורגים בדירוג המחקר האזרחי בדרגות: א'1 ו-א', בשיעור של 2.7237% (השלמה ל-5.6%), בהתאם לטבלה המעודכנת בנספח א' להוראה זו</w:t>
      </w:r>
      <w:r w:rsidRPr="00EB515C">
        <w:t>.</w:t>
      </w:r>
    </w:p>
    <w:p w14:paraId="77CBB95F" w14:textId="77777777" w:rsidR="00EB515C" w:rsidRPr="00EB515C" w:rsidRDefault="00EB515C" w:rsidP="00EB515C">
      <w:r w:rsidRPr="00EB515C">
        <w:t> </w:t>
      </w:r>
    </w:p>
    <w:p w14:paraId="5D93619A" w14:textId="77777777" w:rsidR="00EB515C" w:rsidRPr="00EB515C" w:rsidRDefault="00EB515C" w:rsidP="00EB515C">
      <w:pPr>
        <w:numPr>
          <w:ilvl w:val="0"/>
          <w:numId w:val="4"/>
        </w:numPr>
      </w:pPr>
      <w:r w:rsidRPr="00EB515C">
        <w:rPr>
          <w:rtl/>
        </w:rPr>
        <w:t>החל מיום 1.1.2012, יש לעדכן את טבלאות השכר של העובדים המדורגים בדירוג המחקר האזרחי בדרגות: ב' ו-ג', בשיעור של 3.002% (השלמה ל-6.19%), בהתאם לטבלה המעודכנת בנספח א' להוראה זו</w:t>
      </w:r>
      <w:r w:rsidRPr="00EB515C">
        <w:t>.</w:t>
      </w:r>
    </w:p>
    <w:p w14:paraId="7A1446F4" w14:textId="144F21CA" w:rsidR="00EB515C" w:rsidRPr="00EB515C" w:rsidRDefault="00EB515C" w:rsidP="00EB515C">
      <w:r w:rsidRPr="00EB515C">
        <w:t>  </w:t>
      </w:r>
    </w:p>
    <w:p w14:paraId="76F30210" w14:textId="77777777" w:rsidR="00EB515C" w:rsidRPr="00EB515C" w:rsidRDefault="00EB515C" w:rsidP="00EB515C">
      <w:pPr>
        <w:numPr>
          <w:ilvl w:val="0"/>
          <w:numId w:val="5"/>
        </w:numPr>
      </w:pPr>
      <w:r w:rsidRPr="00EB515C">
        <w:rPr>
          <w:rtl/>
        </w:rPr>
        <w:lastRenderedPageBreak/>
        <w:t>החל מיום 1.1.2012, יש לעדכן את טבלאות השכר של העובדים המדורגים בדירוג המחקר האזרחי בדרגות: ה1, ה2, ד' וד'(ד"ר), בשיעור של 2.8182% (השלמה ל-5.8%), בהתאם לטבלה המעודכנת בנספח א' להוראה זו</w:t>
      </w:r>
      <w:r w:rsidRPr="00EB515C">
        <w:t>.</w:t>
      </w:r>
    </w:p>
    <w:p w14:paraId="63A310BA" w14:textId="77777777" w:rsidR="00EB515C" w:rsidRPr="00EB515C" w:rsidRDefault="00EB515C" w:rsidP="00EB515C">
      <w:r w:rsidRPr="00EB515C">
        <w:t> </w:t>
      </w:r>
    </w:p>
    <w:p w14:paraId="01C5A596" w14:textId="77777777" w:rsidR="00EB515C" w:rsidRPr="00EB515C" w:rsidRDefault="00EB515C" w:rsidP="00EB515C">
      <w:pPr>
        <w:numPr>
          <w:ilvl w:val="0"/>
          <w:numId w:val="6"/>
        </w:numPr>
      </w:pPr>
      <w:r w:rsidRPr="00EB515C">
        <w:rPr>
          <w:rtl/>
        </w:rPr>
        <w:t>החל מיום 1.1.2013, יש לעדכן את טבלאות השכר של העובדים המדורגים בדירוג המחקר האזרחי בדרגות: א'1 ו-א', בשיעור של 2.7462% (השלמה ל-8.5%), בהתאם לטבלה המעודכנת בנספח א' להוראה זו</w:t>
      </w:r>
      <w:r w:rsidRPr="00EB515C">
        <w:t>.</w:t>
      </w:r>
    </w:p>
    <w:p w14:paraId="166E2231" w14:textId="77777777" w:rsidR="00EB515C" w:rsidRPr="00EB515C" w:rsidRDefault="00EB515C" w:rsidP="00EB515C">
      <w:r w:rsidRPr="00EB515C">
        <w:t> </w:t>
      </w:r>
    </w:p>
    <w:p w14:paraId="1A227C36" w14:textId="77777777" w:rsidR="00EB515C" w:rsidRPr="00EB515C" w:rsidRDefault="00EB515C" w:rsidP="00EB515C">
      <w:pPr>
        <w:numPr>
          <w:ilvl w:val="0"/>
          <w:numId w:val="7"/>
        </w:numPr>
      </w:pPr>
      <w:r w:rsidRPr="00EB515C">
        <w:rPr>
          <w:rtl/>
        </w:rPr>
        <w:t>החל מיום 1.1.2013, יש לעדכן את טבלאות השכר של העובדים המדורגים בדירוג המחקר האזרחי בדרגות: ב' ו-ג', בשיעור של 2.7309% (השלמה ל-9.09%), בהתאם לטבלה המעודכנת בנספח א' להוראה זו</w:t>
      </w:r>
      <w:r w:rsidRPr="00EB515C">
        <w:t>.</w:t>
      </w:r>
    </w:p>
    <w:p w14:paraId="3803D5E5" w14:textId="77777777" w:rsidR="00EB515C" w:rsidRPr="00EB515C" w:rsidRDefault="00EB515C" w:rsidP="00EB515C">
      <w:r w:rsidRPr="00EB515C">
        <w:t> </w:t>
      </w:r>
    </w:p>
    <w:p w14:paraId="06318777" w14:textId="77777777" w:rsidR="00EB515C" w:rsidRPr="00EB515C" w:rsidRDefault="00EB515C" w:rsidP="00EB515C">
      <w:pPr>
        <w:numPr>
          <w:ilvl w:val="0"/>
          <w:numId w:val="8"/>
        </w:numPr>
      </w:pPr>
      <w:r w:rsidRPr="00EB515C">
        <w:rPr>
          <w:rtl/>
        </w:rPr>
        <w:t>החל מיום 1.1.2013, יש לעדכן את טבלאות השכר של העובדים המדורגים בדירוג המחקר האזרחי בדרגות: ה1, ה2, ד' וד'(ד"ר), בשיעור של 2.741% (השלמה ל-8.7%), בהתאם לטבלה המעודכנת בנספח א' להוראה זו</w:t>
      </w:r>
      <w:r w:rsidRPr="00EB515C">
        <w:t>.</w:t>
      </w:r>
    </w:p>
    <w:p w14:paraId="35268878" w14:textId="77777777" w:rsidR="00EB515C" w:rsidRPr="00EB515C" w:rsidRDefault="00EB515C" w:rsidP="00EB515C">
      <w:r w:rsidRPr="00EB515C">
        <w:t> </w:t>
      </w:r>
    </w:p>
    <w:p w14:paraId="224E2BD4" w14:textId="77777777" w:rsidR="00EB515C" w:rsidRPr="00EB515C" w:rsidRDefault="00EB515C" w:rsidP="00EB515C">
      <w:pPr>
        <w:numPr>
          <w:ilvl w:val="0"/>
          <w:numId w:val="9"/>
        </w:numPr>
      </w:pPr>
      <w:r w:rsidRPr="00EB515C">
        <w:rPr>
          <w:rtl/>
        </w:rPr>
        <w:t xml:space="preserve">החל מיום 1.1.2014, יש לעדכן את טבלאות השכר של העובדים המדורגים בדירוג המחקר האזרחי (המופיעות בנספח א' </w:t>
      </w:r>
      <w:proofErr w:type="spellStart"/>
      <w:r w:rsidRPr="00EB515C">
        <w:rPr>
          <w:rtl/>
        </w:rPr>
        <w:t>למכתבימיום</w:t>
      </w:r>
      <w:proofErr w:type="spellEnd"/>
      <w:r w:rsidRPr="00EB515C">
        <w:rPr>
          <w:rtl/>
        </w:rPr>
        <w:t xml:space="preserve"> 19.3.13 שבסימוכין) בדרגות: א'1, א', ב' ו-ג' בשיעור של 2.9%, בהתאם לטבלה המעודכנת בנספח א' להוראה זו</w:t>
      </w:r>
      <w:r w:rsidRPr="00EB515C">
        <w:t>.</w:t>
      </w:r>
    </w:p>
    <w:p w14:paraId="2BF41B64" w14:textId="77777777" w:rsidR="00EB515C" w:rsidRPr="00EB515C" w:rsidRDefault="00EB515C" w:rsidP="00EB515C">
      <w:r w:rsidRPr="00EB515C">
        <w:t> </w:t>
      </w:r>
    </w:p>
    <w:p w14:paraId="4ECB87B8" w14:textId="77777777" w:rsidR="00EB515C" w:rsidRPr="00EB515C" w:rsidRDefault="00EB515C" w:rsidP="00EB515C">
      <w:pPr>
        <w:numPr>
          <w:ilvl w:val="0"/>
          <w:numId w:val="10"/>
        </w:numPr>
      </w:pPr>
      <w:r w:rsidRPr="00EB515C">
        <w:rPr>
          <w:rtl/>
        </w:rPr>
        <w:t>החל מיום 1.1.2014, יש לעדכן את טבלאות השכר של העובדים המדורגים בדירוג המחקר האזרחי בדרגות: ה1, ה2, ד' וד'(ד"ר), בשיעור של 2.6678% (השלמה ל-11.6%), בהתאם לטבלה המעודכנת בנספח א' להוראה זו</w:t>
      </w:r>
      <w:r w:rsidRPr="00EB515C">
        <w:t>.</w:t>
      </w:r>
    </w:p>
    <w:p w14:paraId="7122871E" w14:textId="77777777" w:rsidR="00EB515C" w:rsidRPr="00EB515C" w:rsidRDefault="00EB515C" w:rsidP="00EB515C">
      <w:r w:rsidRPr="00EB515C">
        <w:t> </w:t>
      </w:r>
    </w:p>
    <w:p w14:paraId="54A66B9B" w14:textId="77777777" w:rsidR="00EB515C" w:rsidRPr="00EB515C" w:rsidRDefault="00EB515C" w:rsidP="00EB515C">
      <w:pPr>
        <w:numPr>
          <w:ilvl w:val="0"/>
          <w:numId w:val="11"/>
        </w:numPr>
      </w:pPr>
      <w:r w:rsidRPr="00EB515C">
        <w:rPr>
          <w:rtl/>
        </w:rPr>
        <w:t>מובהר בזאת כי לא יחול כל שינוי בשאר רכיבי השכר של עובדי דירוג המחקר האזרחי</w:t>
      </w:r>
      <w:r w:rsidRPr="00EB515C">
        <w:t>.</w:t>
      </w:r>
      <w:r w:rsidRPr="00EB515C">
        <w:br/>
        <w:t> </w:t>
      </w:r>
    </w:p>
    <w:p w14:paraId="0F7AEDC2" w14:textId="77777777" w:rsidR="00EB515C" w:rsidRPr="00EB515C" w:rsidRDefault="00EB515C" w:rsidP="00EB515C">
      <w:pPr>
        <w:numPr>
          <w:ilvl w:val="0"/>
          <w:numId w:val="11"/>
        </w:numPr>
      </w:pPr>
      <w:r w:rsidRPr="00EB515C">
        <w:rPr>
          <w:rtl/>
        </w:rPr>
        <w:t>התשלומים בהתאם להוראות ביצוע אלו יבוצעו במשכורת חודש ספטמבר 2014 ולא יאוחר ממשכורת חודש אוקטובר 2014</w:t>
      </w:r>
      <w:r w:rsidRPr="00EB515C">
        <w:t>.</w:t>
      </w:r>
    </w:p>
    <w:p w14:paraId="2609BE4F" w14:textId="18F7FA92" w:rsidR="00A11C56" w:rsidRPr="00EB515C" w:rsidRDefault="00EB515C" w:rsidP="00EB515C">
      <w:pPr>
        <w:rPr>
          <w:rFonts w:hint="cs"/>
        </w:rPr>
      </w:pPr>
      <w:r w:rsidRPr="00EB515C">
        <w:t> </w:t>
      </w:r>
      <w:r w:rsidRPr="00EB515C">
        <w:br/>
        <w:t>  </w:t>
      </w:r>
      <w:r w:rsidRPr="00EB515C">
        <w:br/>
        <w:t xml:space="preserve">                                                                                        </w:t>
      </w:r>
      <w:r w:rsidRPr="00EB515C">
        <w:rPr>
          <w:rtl/>
        </w:rPr>
        <w:t>בברכה</w:t>
      </w:r>
      <w:r w:rsidRPr="00EB515C">
        <w:t>,</w:t>
      </w:r>
      <w:r w:rsidRPr="00EB515C">
        <w:br/>
        <w:t> </w:t>
      </w:r>
      <w:r w:rsidRPr="00EB515C">
        <w:br/>
        <w:t xml:space="preserve">                                                                                     </w:t>
      </w:r>
      <w:r w:rsidRPr="00EB515C">
        <w:rPr>
          <w:rtl/>
        </w:rPr>
        <w:t xml:space="preserve">קובי </w:t>
      </w:r>
      <w:proofErr w:type="spellStart"/>
      <w:r w:rsidRPr="00EB515C">
        <w:rPr>
          <w:rtl/>
        </w:rPr>
        <w:t>אמסלם</w:t>
      </w:r>
      <w:proofErr w:type="spellEnd"/>
      <w:r w:rsidRPr="00EB515C">
        <w:br/>
        <w:t xml:space="preserve">                                                                       </w:t>
      </w:r>
      <w:r w:rsidRPr="00EB515C">
        <w:rPr>
          <w:rtl/>
        </w:rPr>
        <w:t>הממונה על השכר והסכמי עבודה</w:t>
      </w:r>
      <w:r w:rsidRPr="00EB515C">
        <w:br/>
        <w:t> </w:t>
      </w:r>
      <w:r w:rsidRPr="00EB515C">
        <w:br/>
      </w:r>
      <w:r w:rsidRPr="00EB515C">
        <w:rPr>
          <w:rtl/>
        </w:rPr>
        <w:t>העתק</w:t>
      </w:r>
      <w:r w:rsidRPr="00EB515C">
        <w:t xml:space="preserve"> :</w:t>
      </w:r>
      <w:r w:rsidRPr="00EB515C">
        <w:br/>
      </w:r>
      <w:r w:rsidRPr="00EB515C">
        <w:rPr>
          <w:rtl/>
        </w:rPr>
        <w:t>נציב שירות המדינה</w:t>
      </w:r>
      <w:r>
        <w:t xml:space="preserve"> </w:t>
      </w:r>
      <w:r w:rsidRPr="00EB515C">
        <w:t>(2014-75)</w:t>
      </w:r>
      <w:r>
        <w:t xml:space="preserve"> </w:t>
      </w:r>
    </w:p>
    <w:sectPr w:rsidR="00A11C56" w:rsidRPr="00EB515C" w:rsidSect="00EB515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F25"/>
    <w:multiLevelType w:val="multilevel"/>
    <w:tmpl w:val="5BEC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D372E"/>
    <w:multiLevelType w:val="multilevel"/>
    <w:tmpl w:val="3DC4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30784"/>
    <w:multiLevelType w:val="multilevel"/>
    <w:tmpl w:val="ED56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32F67"/>
    <w:multiLevelType w:val="multilevel"/>
    <w:tmpl w:val="9222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F26F3"/>
    <w:multiLevelType w:val="multilevel"/>
    <w:tmpl w:val="F3AE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A7F0E"/>
    <w:multiLevelType w:val="multilevel"/>
    <w:tmpl w:val="1DE8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424FA"/>
    <w:multiLevelType w:val="multilevel"/>
    <w:tmpl w:val="78A8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F520B7"/>
    <w:multiLevelType w:val="multilevel"/>
    <w:tmpl w:val="9ED2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14C5B"/>
    <w:multiLevelType w:val="multilevel"/>
    <w:tmpl w:val="E6E8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653B21"/>
    <w:multiLevelType w:val="multilevel"/>
    <w:tmpl w:val="1BC0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B55503"/>
    <w:multiLevelType w:val="multilevel"/>
    <w:tmpl w:val="2BD8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5B2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5B2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515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0678"/>
  <w15:docId w15:val="{B2D2D6D6-A71B-46C5-B709-FD6E7F1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B2"/>
    <w:pPr>
      <w:bidi/>
      <w:spacing w:after="0" w:line="240" w:lineRule="auto"/>
    </w:pPr>
  </w:style>
  <w:style w:type="character" w:styleId="a4">
    <w:name w:val="Strong"/>
    <w:basedOn w:val="a0"/>
    <w:uiPriority w:val="22"/>
    <w:qFormat/>
    <w:rsid w:val="003E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Xnoa12 Xnoa120</cp:lastModifiedBy>
  <cp:revision>2</cp:revision>
  <dcterms:created xsi:type="dcterms:W3CDTF">2020-07-01T09:49:00Z</dcterms:created>
  <dcterms:modified xsi:type="dcterms:W3CDTF">2020-07-21T09:31:00Z</dcterms:modified>
</cp:coreProperties>
</file>